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39" w:rsidRPr="00204AEC" w:rsidRDefault="00A13E39" w:rsidP="00A13E3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4AEC">
        <w:rPr>
          <w:rFonts w:ascii="Arial" w:hAnsi="Arial" w:cs="Arial"/>
          <w:b/>
          <w:sz w:val="22"/>
          <w:szCs w:val="22"/>
        </w:rPr>
        <w:t>ANEXO IV – CONTEÚDOS PROGRAMÁTICOS</w:t>
      </w:r>
    </w:p>
    <w:p w:rsidR="00A13E39" w:rsidRDefault="00A13E39" w:rsidP="00C25EA7">
      <w:pPr>
        <w:jc w:val="center"/>
        <w:rPr>
          <w:rFonts w:ascii="Arial" w:hAnsi="Arial" w:cs="Arial"/>
          <w:b/>
          <w:sz w:val="16"/>
          <w:szCs w:val="22"/>
        </w:rPr>
      </w:pPr>
    </w:p>
    <w:p w:rsidR="00C25EA7" w:rsidRPr="00C25EA7" w:rsidRDefault="00C25EA7" w:rsidP="00C25EA7">
      <w:pPr>
        <w:jc w:val="center"/>
        <w:rPr>
          <w:rFonts w:ascii="Arial" w:hAnsi="Arial" w:cs="Arial"/>
          <w:b/>
          <w:sz w:val="16"/>
          <w:szCs w:val="22"/>
        </w:rPr>
      </w:pPr>
    </w:p>
    <w:p w:rsidR="00A13E39" w:rsidRPr="00204AEC" w:rsidRDefault="00A13E39" w:rsidP="00A13E39">
      <w:pPr>
        <w:shd w:val="clear" w:color="auto" w:fill="D0CECE" w:themeFill="background2" w:themeFillShade="E6"/>
        <w:spacing w:after="120" w:line="320" w:lineRule="atLeast"/>
        <w:jc w:val="center"/>
        <w:rPr>
          <w:b/>
          <w:bCs/>
          <w:sz w:val="20"/>
          <w:szCs w:val="20"/>
        </w:rPr>
      </w:pPr>
      <w:r w:rsidRPr="00204AEC">
        <w:rPr>
          <w:rFonts w:ascii="Arial" w:hAnsi="Arial" w:cs="Arial"/>
          <w:b/>
          <w:sz w:val="22"/>
          <w:szCs w:val="22"/>
        </w:rPr>
        <w:t>PARA TODAS AS FUNÇÕES</w:t>
      </w:r>
    </w:p>
    <w:p w:rsidR="00A13E39" w:rsidRPr="00165A87" w:rsidRDefault="000E5A8C" w:rsidP="00A13E39">
      <w:pPr>
        <w:spacing w:after="120" w:line="320" w:lineRule="atLeast"/>
        <w:jc w:val="both"/>
        <w:rPr>
          <w:rFonts w:ascii="Arial" w:hAnsi="Arial" w:cs="Arial"/>
          <w:sz w:val="20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1"/>
        </w:rPr>
        <w:t>LÍNGUA PORTUGUESA</w:t>
      </w:r>
      <w:r w:rsidR="00A13E39" w:rsidRPr="00C11202">
        <w:rPr>
          <w:rFonts w:ascii="Arial" w:hAnsi="Arial" w:cs="Arial"/>
          <w:bCs/>
          <w:sz w:val="22"/>
          <w:szCs w:val="21"/>
        </w:rPr>
        <w:t xml:space="preserve">: </w:t>
      </w:r>
      <w:r w:rsidR="00165A87" w:rsidRPr="00165A87">
        <w:rPr>
          <w:rFonts w:ascii="Arial" w:hAnsi="Arial" w:cs="Arial"/>
          <w:sz w:val="22"/>
        </w:rPr>
        <w:t>Compreensão e interpretação de texto. Denotação e conotação. Ortografia: emprego das letras e acentuação gráfica. Classes de palavras e suas flexões. Processo de formação de palavras; Verbos: Conjugação, emprego dos tempos, modos e vozes verbais. Concordâncias nominal e verbal. Regências nominal e verbal. Emprego do acento indicativo da crase. Colocação dos pronomes. Emprego dos sinais de pontuação. Semântica: sinonímia, antonímia, homonímia, paronímia, polissemia e figuras de linguagem. Coletivos. Funções sintáticas de termos e de orações. Processos sintáticos: subordinação e coordenação. Novo acordo Orto</w:t>
      </w:r>
      <w:r w:rsidR="00F75E22">
        <w:rPr>
          <w:rFonts w:ascii="Arial" w:hAnsi="Arial" w:cs="Arial"/>
          <w:sz w:val="22"/>
        </w:rPr>
        <w:t xml:space="preserve"> </w:t>
      </w:r>
      <w:r w:rsidR="00165A87" w:rsidRPr="00165A87">
        <w:rPr>
          <w:rFonts w:ascii="Arial" w:hAnsi="Arial" w:cs="Arial"/>
          <w:sz w:val="22"/>
        </w:rPr>
        <w:t>gráfico.</w:t>
      </w:r>
    </w:p>
    <w:p w:rsidR="00A13E39" w:rsidRPr="00204AEC" w:rsidRDefault="00A13E39" w:rsidP="00A13E39">
      <w:pPr>
        <w:jc w:val="both"/>
        <w:rPr>
          <w:rFonts w:ascii="Arial" w:hAnsi="Arial" w:cs="Arial"/>
          <w:b/>
          <w:bCs/>
          <w:sz w:val="10"/>
          <w:szCs w:val="10"/>
        </w:rPr>
      </w:pPr>
      <w:r w:rsidRPr="00204AEC">
        <w:rPr>
          <w:rFonts w:ascii="Arial" w:hAnsi="Arial" w:cs="Arial"/>
          <w:b/>
          <w:bCs/>
          <w:sz w:val="10"/>
          <w:szCs w:val="10"/>
        </w:rPr>
        <w:t xml:space="preserve">                                                                      </w:t>
      </w:r>
    </w:p>
    <w:p w:rsidR="00A13E39" w:rsidRPr="00C11202" w:rsidRDefault="00A13E39" w:rsidP="00A13E39">
      <w:pPr>
        <w:spacing w:after="100" w:afterAutospacing="1" w:line="320" w:lineRule="atLeast"/>
        <w:jc w:val="both"/>
        <w:rPr>
          <w:rFonts w:ascii="Arial" w:hAnsi="Arial" w:cs="Arial"/>
          <w:sz w:val="22"/>
          <w:szCs w:val="21"/>
        </w:rPr>
      </w:pPr>
      <w:r w:rsidRPr="00C11202">
        <w:rPr>
          <w:rFonts w:ascii="Arial" w:hAnsi="Arial" w:cs="Arial"/>
          <w:b/>
          <w:sz w:val="22"/>
          <w:szCs w:val="21"/>
        </w:rPr>
        <w:t xml:space="preserve">DIRETRIZES 2014 DO PROGRAMA ESPORTE E LAZER DA CIDADE – PELC: </w:t>
      </w:r>
      <w:r w:rsidRPr="00C11202">
        <w:rPr>
          <w:rFonts w:ascii="Arial" w:hAnsi="Arial" w:cs="Arial"/>
          <w:sz w:val="22"/>
          <w:szCs w:val="21"/>
        </w:rPr>
        <w:t xml:space="preserve">objetivos do PELC; </w:t>
      </w:r>
      <w:r w:rsidRPr="00C11202">
        <w:rPr>
          <w:rFonts w:ascii="Arial" w:hAnsi="Arial" w:cs="Arial"/>
          <w:b/>
          <w:sz w:val="22"/>
          <w:szCs w:val="21"/>
        </w:rPr>
        <w:t>Processos Pedagógicos</w:t>
      </w:r>
      <w:r w:rsidRPr="00C11202">
        <w:rPr>
          <w:rFonts w:ascii="Arial" w:hAnsi="Arial" w:cs="Arial"/>
          <w:sz w:val="22"/>
          <w:szCs w:val="21"/>
        </w:rPr>
        <w:t xml:space="preserve">: diretrizes norteadoras dos processos pedagógicos; </w:t>
      </w:r>
      <w:r w:rsidRPr="00C11202">
        <w:rPr>
          <w:rFonts w:ascii="Arial" w:hAnsi="Arial" w:cs="Arial"/>
          <w:b/>
          <w:sz w:val="22"/>
          <w:szCs w:val="21"/>
        </w:rPr>
        <w:t>Núcleos:</w:t>
      </w:r>
      <w:r w:rsidRPr="00C11202">
        <w:rPr>
          <w:rFonts w:ascii="Arial" w:hAnsi="Arial" w:cs="Arial"/>
          <w:sz w:val="22"/>
          <w:szCs w:val="21"/>
        </w:rPr>
        <w:t xml:space="preserve"> núcleo urbano e núcleo para os povos e comunidades tradicionais; </w:t>
      </w:r>
      <w:r w:rsidRPr="00C11202">
        <w:rPr>
          <w:rFonts w:ascii="Arial" w:hAnsi="Arial" w:cs="Arial"/>
          <w:b/>
          <w:sz w:val="22"/>
          <w:szCs w:val="21"/>
        </w:rPr>
        <w:t>Atividades:</w:t>
      </w:r>
      <w:r w:rsidRPr="00C11202">
        <w:rPr>
          <w:rFonts w:ascii="Arial" w:hAnsi="Arial" w:cs="Arial"/>
          <w:sz w:val="22"/>
          <w:szCs w:val="21"/>
        </w:rPr>
        <w:t xml:space="preserve"> sistemáticas e assistemáticas; </w:t>
      </w:r>
      <w:r w:rsidRPr="00C11202">
        <w:rPr>
          <w:rFonts w:ascii="Arial" w:hAnsi="Arial" w:cs="Arial"/>
          <w:b/>
          <w:sz w:val="22"/>
          <w:szCs w:val="21"/>
        </w:rPr>
        <w:t>Composição dos Recursos Humanos nos Núcleos:</w:t>
      </w:r>
      <w:r w:rsidRPr="00C11202">
        <w:rPr>
          <w:rFonts w:ascii="Arial" w:hAnsi="Arial" w:cs="Arial"/>
          <w:sz w:val="22"/>
          <w:szCs w:val="21"/>
        </w:rPr>
        <w:t xml:space="preserve"> qualificação, atribuições e carga horária dos coordenadores e agentes sociais de lazer e esporte recreativo; </w:t>
      </w:r>
      <w:r w:rsidRPr="00C11202">
        <w:rPr>
          <w:rFonts w:ascii="Arial" w:hAnsi="Arial" w:cs="Arial"/>
          <w:b/>
          <w:sz w:val="22"/>
          <w:szCs w:val="21"/>
        </w:rPr>
        <w:t>Controle Social:</w:t>
      </w:r>
      <w:r w:rsidRPr="00C11202">
        <w:rPr>
          <w:rFonts w:ascii="Arial" w:hAnsi="Arial" w:cs="Arial"/>
          <w:sz w:val="22"/>
          <w:szCs w:val="21"/>
        </w:rPr>
        <w:t xml:space="preserve"> entidade de controle social e conselho gestor. </w:t>
      </w:r>
    </w:p>
    <w:p w:rsidR="00A13E39" w:rsidRPr="00C11202" w:rsidRDefault="00A13E39" w:rsidP="00A13E39">
      <w:pPr>
        <w:spacing w:line="320" w:lineRule="atLeast"/>
        <w:jc w:val="both"/>
        <w:rPr>
          <w:rFonts w:ascii="Arial" w:hAnsi="Arial" w:cs="Arial"/>
          <w:sz w:val="22"/>
          <w:szCs w:val="21"/>
        </w:rPr>
      </w:pPr>
      <w:r w:rsidRPr="00C11202">
        <w:rPr>
          <w:rFonts w:ascii="Arial" w:hAnsi="Arial" w:cs="Arial"/>
          <w:b/>
          <w:sz w:val="22"/>
          <w:szCs w:val="21"/>
        </w:rPr>
        <w:t>PROPOSTA DE FORMAÇÃO DO PROGRAMA ESPORTE E LAZER DA CIDADE – PELC</w:t>
      </w:r>
      <w:r w:rsidRPr="00C11202">
        <w:rPr>
          <w:rFonts w:ascii="Arial" w:hAnsi="Arial" w:cs="Arial"/>
          <w:sz w:val="22"/>
          <w:szCs w:val="21"/>
        </w:rPr>
        <w:t xml:space="preserve"> </w:t>
      </w:r>
      <w:r w:rsidRPr="00C11202">
        <w:rPr>
          <w:rFonts w:ascii="Arial" w:hAnsi="Arial" w:cs="Arial"/>
          <w:b/>
          <w:sz w:val="22"/>
          <w:szCs w:val="21"/>
        </w:rPr>
        <w:t>Módulo Introdutório I e II</w:t>
      </w:r>
      <w:r w:rsidRPr="00C11202">
        <w:rPr>
          <w:rFonts w:ascii="Arial" w:hAnsi="Arial" w:cs="Arial"/>
          <w:sz w:val="22"/>
          <w:szCs w:val="21"/>
        </w:rPr>
        <w:t xml:space="preserve">: objetivos do Módulo Introdutório I e do Módulo Introdutório II; </w:t>
      </w:r>
      <w:r w:rsidRPr="00C11202">
        <w:rPr>
          <w:rFonts w:ascii="Arial" w:hAnsi="Arial" w:cs="Arial"/>
          <w:b/>
          <w:sz w:val="22"/>
          <w:szCs w:val="21"/>
        </w:rPr>
        <w:t>Formação em Serviço</w:t>
      </w:r>
      <w:r w:rsidRPr="00C11202">
        <w:rPr>
          <w:rFonts w:ascii="Arial" w:hAnsi="Arial" w:cs="Arial"/>
          <w:sz w:val="22"/>
          <w:szCs w:val="21"/>
        </w:rPr>
        <w:t xml:space="preserve">: objetivos da formação em serviço; metodologias para formação em serviço; e </w:t>
      </w:r>
      <w:r w:rsidRPr="00C11202">
        <w:rPr>
          <w:rFonts w:ascii="Arial" w:hAnsi="Arial" w:cs="Arial"/>
          <w:b/>
          <w:sz w:val="22"/>
          <w:szCs w:val="21"/>
        </w:rPr>
        <w:t>Módulo Avaliação I e II</w:t>
      </w:r>
      <w:r w:rsidRPr="00C11202">
        <w:rPr>
          <w:rFonts w:ascii="Arial" w:hAnsi="Arial" w:cs="Arial"/>
          <w:sz w:val="22"/>
          <w:szCs w:val="21"/>
        </w:rPr>
        <w:t>: objetivos dos Módulos de Avaliação I e II.</w:t>
      </w:r>
    </w:p>
    <w:p w:rsidR="00A13E39" w:rsidRPr="00204AEC" w:rsidRDefault="00A13E39" w:rsidP="00A13E39">
      <w:pPr>
        <w:spacing w:line="320" w:lineRule="atLeast"/>
        <w:jc w:val="both"/>
        <w:rPr>
          <w:rFonts w:ascii="Arial" w:hAnsi="Arial" w:cs="Arial"/>
          <w:szCs w:val="36"/>
        </w:rPr>
      </w:pPr>
    </w:p>
    <w:p w:rsidR="00A13E39" w:rsidRPr="00204AEC" w:rsidRDefault="00A13E39" w:rsidP="00A13E39">
      <w:pPr>
        <w:shd w:val="clear" w:color="auto" w:fill="D0CECE" w:themeFill="background2" w:themeFillShade="E6"/>
        <w:spacing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04AEC">
        <w:rPr>
          <w:rFonts w:ascii="Arial" w:hAnsi="Arial" w:cs="Arial"/>
          <w:b/>
          <w:bCs/>
          <w:sz w:val="22"/>
          <w:szCs w:val="22"/>
        </w:rPr>
        <w:t>PELC 01 - COORDENADOR PEDAGÓGICO</w:t>
      </w:r>
    </w:p>
    <w:p w:rsidR="00A13E39" w:rsidRPr="00C11202" w:rsidRDefault="00A13E39" w:rsidP="00A13E39">
      <w:pPr>
        <w:spacing w:after="100" w:afterAutospacing="1" w:line="320" w:lineRule="atLeast"/>
        <w:jc w:val="both"/>
        <w:rPr>
          <w:rFonts w:ascii="Arial" w:eastAsia="Calibri" w:hAnsi="Arial" w:cs="Arial"/>
          <w:sz w:val="22"/>
          <w:szCs w:val="21"/>
        </w:rPr>
      </w:pPr>
      <w:r w:rsidRPr="00C11202">
        <w:rPr>
          <w:rFonts w:ascii="Arial" w:hAnsi="Arial" w:cs="Arial"/>
          <w:b/>
          <w:bCs/>
          <w:sz w:val="22"/>
          <w:szCs w:val="21"/>
        </w:rPr>
        <w:t xml:space="preserve">CONHECIMENTOS ESPECÍFICOS: Contexto histórico da Educação Física: </w:t>
      </w:r>
      <w:r w:rsidRPr="00C11202">
        <w:rPr>
          <w:rFonts w:ascii="Arial" w:hAnsi="Arial" w:cs="Arial"/>
          <w:bCs/>
          <w:sz w:val="22"/>
          <w:szCs w:val="21"/>
        </w:rPr>
        <w:t xml:space="preserve">Tendências e Abordagens Pedagógicas da Educação Física Brasileira. </w:t>
      </w:r>
      <w:r w:rsidRPr="00C11202">
        <w:rPr>
          <w:rFonts w:ascii="Arial" w:hAnsi="Arial" w:cs="Arial"/>
          <w:b/>
          <w:bCs/>
          <w:sz w:val="22"/>
          <w:szCs w:val="21"/>
        </w:rPr>
        <w:t>Teorias do Desenvolvimento:</w:t>
      </w:r>
      <w:r w:rsidRPr="00C11202">
        <w:rPr>
          <w:rFonts w:ascii="Arial" w:hAnsi="Arial" w:cs="Arial"/>
          <w:bCs/>
          <w:sz w:val="22"/>
          <w:szCs w:val="21"/>
        </w:rPr>
        <w:t xml:space="preserve"> Estágios do </w:t>
      </w:r>
      <w:r w:rsidRPr="00C11202">
        <w:rPr>
          <w:rFonts w:ascii="Arial" w:hAnsi="Arial" w:cs="Arial"/>
          <w:sz w:val="22"/>
          <w:szCs w:val="21"/>
        </w:rPr>
        <w:t xml:space="preserve">desenvolvimento de Henri </w:t>
      </w:r>
      <w:proofErr w:type="spellStart"/>
      <w:r w:rsidRPr="00C11202">
        <w:rPr>
          <w:rFonts w:ascii="Arial" w:hAnsi="Arial" w:cs="Arial"/>
          <w:sz w:val="22"/>
          <w:szCs w:val="21"/>
        </w:rPr>
        <w:t>Wallon</w:t>
      </w:r>
      <w:proofErr w:type="spellEnd"/>
      <w:r w:rsidRPr="00C11202">
        <w:rPr>
          <w:rFonts w:ascii="Arial" w:hAnsi="Arial" w:cs="Arial"/>
          <w:sz w:val="22"/>
          <w:szCs w:val="21"/>
        </w:rPr>
        <w:t xml:space="preserve">; Estágios de desenvolvimento de Jean Piaget. </w:t>
      </w:r>
      <w:r w:rsidRPr="00C11202">
        <w:rPr>
          <w:rFonts w:ascii="Arial" w:hAnsi="Arial" w:cs="Arial"/>
          <w:b/>
          <w:bCs/>
          <w:sz w:val="22"/>
          <w:szCs w:val="21"/>
        </w:rPr>
        <w:t>Psicomotricidade:</w:t>
      </w:r>
      <w:r w:rsidRPr="00C11202">
        <w:rPr>
          <w:rFonts w:ascii="Arial" w:hAnsi="Arial" w:cs="Arial"/>
          <w:bCs/>
          <w:sz w:val="22"/>
          <w:szCs w:val="21"/>
        </w:rPr>
        <w:t xml:space="preserve"> conceito, campos de atuação e funções psicomotoras; </w:t>
      </w:r>
      <w:r w:rsidRPr="00C11202">
        <w:rPr>
          <w:rFonts w:ascii="Arial" w:hAnsi="Arial" w:cs="Arial"/>
          <w:b/>
          <w:bCs/>
          <w:sz w:val="22"/>
          <w:szCs w:val="21"/>
        </w:rPr>
        <w:t>Cultura Lúdica:</w:t>
      </w:r>
      <w:r w:rsidRPr="00C11202">
        <w:rPr>
          <w:rFonts w:ascii="Arial" w:hAnsi="Arial" w:cs="Arial"/>
          <w:bCs/>
          <w:sz w:val="22"/>
          <w:szCs w:val="21"/>
        </w:rPr>
        <w:t xml:space="preserve"> Jogos e Brincadeiras: jogos tradicionais infantis; características do jogo; brinquedo e desenvolvimento simbólico; o jogo e a criança; jogos cooperativos. </w:t>
      </w:r>
      <w:r w:rsidRPr="00C11202">
        <w:rPr>
          <w:rFonts w:ascii="Arial" w:hAnsi="Arial" w:cs="Arial"/>
          <w:b/>
          <w:bCs/>
          <w:sz w:val="22"/>
          <w:szCs w:val="21"/>
        </w:rPr>
        <w:t xml:space="preserve">Categorias do Lúdico: </w:t>
      </w:r>
      <w:r w:rsidRPr="00C11202">
        <w:rPr>
          <w:rFonts w:ascii="Arial" w:hAnsi="Arial" w:cs="Arial"/>
          <w:bCs/>
          <w:sz w:val="22"/>
          <w:szCs w:val="21"/>
        </w:rPr>
        <w:t xml:space="preserve">Aventura, Competição, Vertigem e Fantasia. </w:t>
      </w:r>
      <w:r w:rsidRPr="00C11202">
        <w:rPr>
          <w:rFonts w:ascii="Arial" w:hAnsi="Arial" w:cs="Arial"/>
          <w:b/>
          <w:bCs/>
          <w:sz w:val="22"/>
          <w:szCs w:val="21"/>
        </w:rPr>
        <w:t>Esporte:</w:t>
      </w:r>
      <w:r w:rsidRPr="00C11202">
        <w:rPr>
          <w:rFonts w:ascii="Arial" w:hAnsi="Arial" w:cs="Arial"/>
          <w:bCs/>
          <w:sz w:val="22"/>
          <w:szCs w:val="21"/>
        </w:rPr>
        <w:t xml:space="preserve"> Esporte no Tempo: esporte antigo, moderno e contemporâneo; Dimensões Sociais do Esporte: revisão conceitual do esporte; esporte educação; esporte de participação e lazer; esporte de rendimento; e efeitos sociais negativos do esporte moderno. </w:t>
      </w:r>
      <w:r w:rsidRPr="00C11202">
        <w:rPr>
          <w:rFonts w:ascii="Arial" w:hAnsi="Arial" w:cs="Arial"/>
          <w:b/>
          <w:bCs/>
          <w:sz w:val="22"/>
          <w:szCs w:val="21"/>
        </w:rPr>
        <w:t xml:space="preserve">Lazer: </w:t>
      </w:r>
      <w:r w:rsidRPr="00C11202">
        <w:rPr>
          <w:rFonts w:ascii="Arial" w:hAnsi="Arial" w:cs="Arial"/>
          <w:sz w:val="22"/>
          <w:szCs w:val="21"/>
        </w:rPr>
        <w:t xml:space="preserve">Conteúdos do lazer; funções do lazer; espaços e equipamentos de lazer. </w:t>
      </w:r>
      <w:r w:rsidRPr="00C11202">
        <w:rPr>
          <w:rFonts w:ascii="Arial" w:hAnsi="Arial" w:cs="Arial"/>
          <w:b/>
          <w:sz w:val="22"/>
          <w:szCs w:val="21"/>
        </w:rPr>
        <w:t>Qualidade no Gerenciamento do Lazer</w:t>
      </w:r>
      <w:r w:rsidRPr="00C11202">
        <w:rPr>
          <w:rFonts w:ascii="Arial" w:hAnsi="Arial" w:cs="Arial"/>
          <w:sz w:val="22"/>
          <w:szCs w:val="21"/>
        </w:rPr>
        <w:t>: significado de recreação/lazer e o processo de planejamento; formulação de políticas de lazer no setor público e privado; operacionaliz</w:t>
      </w:r>
      <w:r w:rsidR="00C25EA7">
        <w:rPr>
          <w:rFonts w:ascii="Arial" w:hAnsi="Arial" w:cs="Arial"/>
          <w:sz w:val="22"/>
          <w:szCs w:val="21"/>
        </w:rPr>
        <w:t xml:space="preserve">ação de uma política de lazer; </w:t>
      </w:r>
      <w:r w:rsidRPr="00C11202">
        <w:rPr>
          <w:rFonts w:ascii="Arial" w:hAnsi="Arial" w:cs="Arial"/>
          <w:b/>
          <w:sz w:val="22"/>
          <w:szCs w:val="21"/>
        </w:rPr>
        <w:t xml:space="preserve">Lazer e Mercado: </w:t>
      </w:r>
      <w:r w:rsidRPr="00C11202">
        <w:rPr>
          <w:rFonts w:ascii="Arial" w:hAnsi="Arial" w:cs="Arial"/>
          <w:sz w:val="22"/>
          <w:szCs w:val="21"/>
        </w:rPr>
        <w:t>Panorama atual e implicações na sociedade brasileira; lazer, cultura,</w:t>
      </w:r>
      <w:r w:rsidRPr="00C11202">
        <w:rPr>
          <w:rFonts w:ascii="Arial" w:hAnsi="Arial" w:cs="Arial"/>
          <w:b/>
          <w:sz w:val="22"/>
          <w:szCs w:val="21"/>
        </w:rPr>
        <w:t xml:space="preserve"> </w:t>
      </w:r>
      <w:r w:rsidRPr="00C11202">
        <w:rPr>
          <w:rFonts w:ascii="Arial" w:hAnsi="Arial" w:cs="Arial"/>
          <w:sz w:val="22"/>
          <w:szCs w:val="21"/>
        </w:rPr>
        <w:t>indústria cultural e consumo;</w:t>
      </w:r>
      <w:r w:rsidRPr="00C11202">
        <w:rPr>
          <w:rFonts w:ascii="Arial" w:hAnsi="Arial" w:cs="Arial"/>
          <w:b/>
          <w:sz w:val="22"/>
          <w:szCs w:val="21"/>
        </w:rPr>
        <w:t xml:space="preserve"> </w:t>
      </w:r>
      <w:r w:rsidRPr="00C11202">
        <w:rPr>
          <w:rFonts w:ascii="Arial" w:hAnsi="Arial" w:cs="Arial"/>
          <w:sz w:val="22"/>
          <w:szCs w:val="21"/>
        </w:rPr>
        <w:t xml:space="preserve">lazer, mercado de trabalho e atuação profissional </w:t>
      </w:r>
      <w:r w:rsidRPr="00C11202">
        <w:rPr>
          <w:rFonts w:ascii="Arial" w:hAnsi="Arial" w:cs="Arial"/>
          <w:b/>
          <w:sz w:val="22"/>
          <w:szCs w:val="21"/>
        </w:rPr>
        <w:t xml:space="preserve">Políticas de Lazer: </w:t>
      </w:r>
      <w:r w:rsidRPr="00C11202">
        <w:rPr>
          <w:rFonts w:ascii="Arial" w:hAnsi="Arial" w:cs="Arial"/>
          <w:sz w:val="22"/>
          <w:szCs w:val="21"/>
        </w:rPr>
        <w:t>Lazer</w:t>
      </w:r>
      <w:r w:rsidRPr="00C11202">
        <w:rPr>
          <w:rFonts w:ascii="Arial" w:eastAsia="Calibri" w:hAnsi="Arial" w:cs="Arial"/>
          <w:b/>
          <w:sz w:val="22"/>
          <w:szCs w:val="21"/>
        </w:rPr>
        <w:t xml:space="preserve">, </w:t>
      </w:r>
      <w:r w:rsidRPr="00C11202">
        <w:rPr>
          <w:rFonts w:ascii="Arial" w:eastAsia="Calibri" w:hAnsi="Arial" w:cs="Arial"/>
          <w:sz w:val="22"/>
          <w:szCs w:val="21"/>
        </w:rPr>
        <w:t xml:space="preserve">necessidade e manifestação humana; necessidades de políticas municipais; o lugar do lazer no programa de </w:t>
      </w:r>
      <w:r w:rsidRPr="00C11202">
        <w:rPr>
          <w:rFonts w:ascii="Arial" w:eastAsia="Calibri" w:hAnsi="Arial" w:cs="Arial"/>
          <w:sz w:val="22"/>
          <w:szCs w:val="21"/>
        </w:rPr>
        <w:lastRenderedPageBreak/>
        <w:t>governo; política de formação e desenvolvimento de quadros.</w:t>
      </w:r>
      <w:r w:rsidRPr="00C11202">
        <w:rPr>
          <w:rFonts w:ascii="Arial" w:eastAsia="Calibri" w:hAnsi="Arial" w:cs="Arial"/>
          <w:b/>
          <w:sz w:val="22"/>
          <w:szCs w:val="21"/>
        </w:rPr>
        <w:t xml:space="preserve"> Avaliação Antropométrica:</w:t>
      </w:r>
      <w:r w:rsidRPr="00C11202">
        <w:rPr>
          <w:rFonts w:ascii="Arial" w:eastAsia="Calibri" w:hAnsi="Arial" w:cs="Arial"/>
          <w:sz w:val="22"/>
          <w:szCs w:val="21"/>
        </w:rPr>
        <w:t xml:space="preserve"> Pontos Antropométricos: Plano de Frankfurt. </w:t>
      </w:r>
      <w:r w:rsidRPr="00C11202">
        <w:rPr>
          <w:rFonts w:ascii="Arial" w:eastAsia="Calibri" w:hAnsi="Arial" w:cs="Arial"/>
          <w:b/>
          <w:sz w:val="22"/>
          <w:szCs w:val="21"/>
        </w:rPr>
        <w:t>Medidas Antropométricas</w:t>
      </w:r>
      <w:r w:rsidRPr="00C11202">
        <w:rPr>
          <w:rFonts w:ascii="Arial" w:eastAsia="Calibri" w:hAnsi="Arial" w:cs="Arial"/>
          <w:sz w:val="22"/>
          <w:szCs w:val="21"/>
        </w:rPr>
        <w:t xml:space="preserve">: Medidas Lineares, Medidas Circunferenciais e Medida de Massa; Avaliação Postural e Exercícios Corretivos. Avaliação das Valências Físicas; Baterias de testes de habilidades motoras; e Anamnese. </w:t>
      </w:r>
      <w:r w:rsidRPr="00C11202">
        <w:rPr>
          <w:rFonts w:ascii="Arial" w:eastAsia="Calibri" w:hAnsi="Arial" w:cs="Arial"/>
          <w:b/>
          <w:sz w:val="22"/>
          <w:szCs w:val="21"/>
        </w:rPr>
        <w:t>Esporte Adaptado</w:t>
      </w:r>
      <w:r w:rsidRPr="00C11202">
        <w:rPr>
          <w:rFonts w:ascii="Arial" w:eastAsia="Calibri" w:hAnsi="Arial" w:cs="Arial"/>
          <w:sz w:val="22"/>
          <w:szCs w:val="21"/>
        </w:rPr>
        <w:t>: pessoa com deficiência, classificação das deficiências; fundamentos da avaliação motora em educação física e esporte adaptado.</w:t>
      </w:r>
    </w:p>
    <w:p w:rsidR="00A13E39" w:rsidRPr="00204AEC" w:rsidRDefault="00A13E39" w:rsidP="00A13E39">
      <w:pPr>
        <w:shd w:val="clear" w:color="auto" w:fill="D0CECE" w:themeFill="background2" w:themeFillShade="E6"/>
        <w:spacing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04AEC">
        <w:rPr>
          <w:rFonts w:ascii="Arial" w:hAnsi="Arial" w:cs="Arial"/>
          <w:b/>
          <w:bCs/>
          <w:sz w:val="22"/>
          <w:szCs w:val="22"/>
        </w:rPr>
        <w:t>PELC 02 - COORDENADOR DE NÚCLEO</w:t>
      </w:r>
    </w:p>
    <w:p w:rsidR="00A13E39" w:rsidRPr="00C11202" w:rsidRDefault="00A13E39" w:rsidP="00A13E39">
      <w:pPr>
        <w:spacing w:after="120" w:line="320" w:lineRule="atLeast"/>
        <w:jc w:val="both"/>
        <w:rPr>
          <w:rFonts w:ascii="Arial" w:eastAsia="Calibri" w:hAnsi="Arial" w:cs="Arial"/>
          <w:sz w:val="22"/>
          <w:szCs w:val="21"/>
        </w:rPr>
      </w:pPr>
      <w:r w:rsidRPr="00C11202">
        <w:rPr>
          <w:rFonts w:ascii="Arial" w:hAnsi="Arial" w:cs="Arial"/>
          <w:b/>
          <w:bCs/>
          <w:sz w:val="22"/>
          <w:szCs w:val="21"/>
        </w:rPr>
        <w:t xml:space="preserve">CONHECIMENTOS ESPECÍFICOS: </w:t>
      </w:r>
      <w:r w:rsidRPr="00C11202">
        <w:rPr>
          <w:rFonts w:ascii="Arial" w:eastAsia="Calibri" w:hAnsi="Arial" w:cs="Arial"/>
          <w:b/>
          <w:bCs/>
          <w:sz w:val="22"/>
          <w:szCs w:val="21"/>
        </w:rPr>
        <w:t xml:space="preserve">Futebol e Futsal: </w:t>
      </w:r>
      <w:r w:rsidRPr="00C11202">
        <w:rPr>
          <w:rFonts w:ascii="Arial" w:eastAsia="Calibri" w:hAnsi="Arial" w:cs="Arial"/>
          <w:bCs/>
          <w:sz w:val="22"/>
          <w:szCs w:val="21"/>
        </w:rPr>
        <w:t xml:space="preserve">contexto histórico; o futebol feminino; </w:t>
      </w:r>
      <w:r w:rsidRPr="00C11202">
        <w:rPr>
          <w:rFonts w:ascii="Arial" w:eastAsia="Calibri" w:hAnsi="Arial" w:cs="Arial"/>
          <w:sz w:val="22"/>
          <w:szCs w:val="21"/>
        </w:rPr>
        <w:t xml:space="preserve">metodologia do ensino do futebol e futsal; ensino, desenvolvimento e aperfeiçoamento dos fundamentos; técnica, tática e estratégias; sistemas de jogo. </w:t>
      </w:r>
      <w:r w:rsidRPr="00C11202">
        <w:rPr>
          <w:rFonts w:ascii="Arial" w:eastAsia="Calibri" w:hAnsi="Arial" w:cs="Arial"/>
          <w:b/>
          <w:sz w:val="22"/>
          <w:szCs w:val="21"/>
        </w:rPr>
        <w:t>Handebol:</w:t>
      </w:r>
      <w:r w:rsidRPr="00C11202">
        <w:rPr>
          <w:rFonts w:ascii="Arial" w:eastAsia="Calibri" w:hAnsi="Arial" w:cs="Arial"/>
          <w:sz w:val="22"/>
          <w:szCs w:val="21"/>
        </w:rPr>
        <w:t xml:space="preserve"> contexto histórico; metodologia do ensino do handebol; ensino, desenvolvimento e aperfeiçoamento dos fundamentos; fundamentos técnicos e táticos de ataque e defesa (individual e coletivo) e fundamentos técnicos e táticos do goleiro. </w:t>
      </w:r>
      <w:r w:rsidRPr="00C11202">
        <w:rPr>
          <w:rFonts w:ascii="Arial" w:eastAsia="Calibri" w:hAnsi="Arial" w:cs="Arial"/>
          <w:b/>
          <w:sz w:val="22"/>
          <w:szCs w:val="21"/>
        </w:rPr>
        <w:t>Voleibol:</w:t>
      </w:r>
      <w:r w:rsidRPr="00C11202">
        <w:rPr>
          <w:rFonts w:ascii="Arial" w:eastAsia="Calibri" w:hAnsi="Arial" w:cs="Arial"/>
          <w:sz w:val="22"/>
          <w:szCs w:val="21"/>
        </w:rPr>
        <w:t xml:space="preserve"> contexto histórico; elementos técnicos; a posição básica e as movimentações específicas; sistemas de jogo; formações ofensivas e defensivas; e as principais regras. </w:t>
      </w:r>
      <w:r w:rsidRPr="00C11202">
        <w:rPr>
          <w:rFonts w:ascii="Arial" w:eastAsia="Calibri" w:hAnsi="Arial" w:cs="Arial"/>
          <w:b/>
          <w:bCs/>
          <w:sz w:val="22"/>
          <w:szCs w:val="21"/>
        </w:rPr>
        <w:t xml:space="preserve">Natação e Hidroginástica: </w:t>
      </w:r>
      <w:r w:rsidRPr="00C11202">
        <w:rPr>
          <w:rFonts w:ascii="Arial" w:eastAsia="Calibri" w:hAnsi="Arial" w:cs="Arial"/>
          <w:sz w:val="22"/>
          <w:szCs w:val="21"/>
        </w:rPr>
        <w:t xml:space="preserve">segurança e prevenção de lesões; o ambiente aquático e os benefícios dos exercícios aquáticos; propriedades físicas da água e princípios hidrostáticos e hidrodinâmicos; adaptação ao meio líquido e estudo da mecânica dos estilos; processos de ensino da natação e hidroginástica em diferentes faixas etárias; técnicas de sobrevivência e salvamento; natação para idosos; exercícios </w:t>
      </w:r>
      <w:proofErr w:type="spellStart"/>
      <w:r w:rsidRPr="00C11202">
        <w:rPr>
          <w:rFonts w:ascii="Arial" w:eastAsia="Calibri" w:hAnsi="Arial" w:cs="Arial"/>
          <w:sz w:val="22"/>
          <w:szCs w:val="21"/>
        </w:rPr>
        <w:t>pliométricos</w:t>
      </w:r>
      <w:proofErr w:type="spellEnd"/>
      <w:r w:rsidRPr="00C11202">
        <w:rPr>
          <w:rFonts w:ascii="Arial" w:eastAsia="Calibri" w:hAnsi="Arial" w:cs="Arial"/>
          <w:sz w:val="22"/>
          <w:szCs w:val="21"/>
        </w:rPr>
        <w:t xml:space="preserve"> e de potência em hidroginástica. </w:t>
      </w:r>
      <w:r w:rsidRPr="00C11202">
        <w:rPr>
          <w:rFonts w:ascii="Arial" w:eastAsia="Calibri" w:hAnsi="Arial" w:cs="Arial"/>
          <w:b/>
          <w:sz w:val="22"/>
          <w:szCs w:val="21"/>
        </w:rPr>
        <w:t>Dança:</w:t>
      </w:r>
      <w:r w:rsidRPr="00C11202">
        <w:rPr>
          <w:rFonts w:ascii="Arial" w:eastAsia="Calibri" w:hAnsi="Arial" w:cs="Arial"/>
          <w:sz w:val="22"/>
          <w:szCs w:val="21"/>
        </w:rPr>
        <w:t xml:space="preserve"> Fundamentos Técnicos da dança: parâmetros da dança, abordagem dos parâmetros da dança, condicionamentos e automatismo; Estados de Movimento: Movimento potencial, movimento liberado, curva de execução do movimento e forma de execução – movimento balanceado, percutido, conduzido, pendular ou oscilação, vibratório, lançado e ondulante ou sustentado.</w:t>
      </w:r>
      <w:r w:rsidRPr="00C11202">
        <w:rPr>
          <w:rFonts w:ascii="Arial" w:eastAsia="Calibri" w:hAnsi="Arial" w:cs="Arial"/>
          <w:b/>
          <w:sz w:val="22"/>
          <w:szCs w:val="21"/>
        </w:rPr>
        <w:t xml:space="preserve"> Lutas e Artes Marciais: </w:t>
      </w:r>
      <w:r w:rsidRPr="00C11202">
        <w:rPr>
          <w:rFonts w:ascii="Arial" w:eastAsia="Calibri" w:hAnsi="Arial" w:cs="Arial"/>
          <w:sz w:val="22"/>
          <w:szCs w:val="21"/>
        </w:rPr>
        <w:t xml:space="preserve">Taekwondo (contexto histórico; metodologia do ensino, graduação, chutes, sequência de movimentos, faixas); Capoeira (capoeira de angola e regional, mandamentos da capoeira, golpes, instrumentos e toques de berimbau). Kung Fu (contexto histórico, golpes básicos do kung fu, defesa e ataque). </w:t>
      </w:r>
      <w:r w:rsidRPr="00C11202">
        <w:rPr>
          <w:rFonts w:ascii="Arial" w:eastAsia="Calibri" w:hAnsi="Arial" w:cs="Arial"/>
          <w:b/>
          <w:sz w:val="22"/>
          <w:szCs w:val="21"/>
        </w:rPr>
        <w:t>Organização de Eventos Esportivos e de Lazer:</w:t>
      </w:r>
      <w:r w:rsidRPr="00C11202">
        <w:rPr>
          <w:rFonts w:ascii="Arial" w:eastAsia="Calibri" w:hAnsi="Arial" w:cs="Arial"/>
          <w:sz w:val="22"/>
          <w:szCs w:val="21"/>
        </w:rPr>
        <w:t xml:space="preserve"> classificação dos eventos, caracterização dos eventos, tipos de eventos, normas de cerimonial e protocolo; checklist; tipos de comissões.</w:t>
      </w:r>
    </w:p>
    <w:p w:rsidR="00A13E39" w:rsidRPr="00204AEC" w:rsidRDefault="00A13E39" w:rsidP="00A13E39">
      <w:pPr>
        <w:jc w:val="both"/>
        <w:rPr>
          <w:rFonts w:ascii="Arial" w:hAnsi="Arial" w:cs="Arial"/>
          <w:sz w:val="22"/>
          <w:szCs w:val="22"/>
        </w:rPr>
      </w:pPr>
    </w:p>
    <w:p w:rsidR="00A13E39" w:rsidRDefault="00A13E39" w:rsidP="00A13E39">
      <w:pPr>
        <w:rPr>
          <w:rFonts w:ascii="Arial" w:eastAsia="Calibri" w:hAnsi="Arial" w:cs="Arial"/>
          <w:sz w:val="10"/>
          <w:szCs w:val="10"/>
        </w:rPr>
      </w:pPr>
    </w:p>
    <w:sectPr w:rsidR="00A13E39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B94" w:rsidRDefault="00770B94">
      <w:r>
        <w:separator/>
      </w:r>
    </w:p>
  </w:endnote>
  <w:endnote w:type="continuationSeparator" w:id="0">
    <w:p w:rsidR="00770B94" w:rsidRDefault="0077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B94" w:rsidRDefault="00770B94">
      <w:r>
        <w:separator/>
      </w:r>
    </w:p>
  </w:footnote>
  <w:footnote w:type="continuationSeparator" w:id="0">
    <w:p w:rsidR="00770B94" w:rsidRDefault="0077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E0" w:rsidRDefault="00C25EA7" w:rsidP="007548E0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6CDD283E" wp14:editId="7B5DB3ED">
          <wp:simplePos x="0" y="0"/>
          <wp:positionH relativeFrom="margin">
            <wp:posOffset>2604770</wp:posOffset>
          </wp:positionH>
          <wp:positionV relativeFrom="paragraph">
            <wp:posOffset>49530</wp:posOffset>
          </wp:positionV>
          <wp:extent cx="647700" cy="5105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5EA7" w:rsidRDefault="00C25EA7" w:rsidP="00C25EA7">
    <w:pPr>
      <w:pStyle w:val="Cabealho"/>
      <w:jc w:val="center"/>
    </w:pPr>
  </w:p>
  <w:p w:rsidR="00C25EA7" w:rsidRPr="00C913B9" w:rsidRDefault="00C25EA7" w:rsidP="00C25EA7">
    <w:pPr>
      <w:jc w:val="center"/>
      <w:rPr>
        <w:rFonts w:ascii="Arial" w:hAnsi="Arial" w:cs="Arial"/>
        <w:b/>
        <w:sz w:val="12"/>
        <w:szCs w:val="18"/>
      </w:rPr>
    </w:pPr>
  </w:p>
  <w:p w:rsidR="00C25EA7" w:rsidRDefault="00C25EA7" w:rsidP="00C25EA7">
    <w:pPr>
      <w:jc w:val="center"/>
      <w:rPr>
        <w:rFonts w:ascii="Arial" w:hAnsi="Arial" w:cs="Arial"/>
        <w:b/>
        <w:sz w:val="18"/>
        <w:szCs w:val="18"/>
      </w:rPr>
    </w:pPr>
  </w:p>
  <w:p w:rsidR="00C25EA7" w:rsidRDefault="00C25EA7" w:rsidP="00C25EA7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A72BC" wp14:editId="3A505829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2B69C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:rsidR="00C25EA7" w:rsidRPr="00567E25" w:rsidRDefault="00C25EA7" w:rsidP="00C25EA7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:rsidR="00DA07B0" w:rsidRPr="007548E0" w:rsidRDefault="00770B94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39"/>
    <w:rsid w:val="000E5A8C"/>
    <w:rsid w:val="001372BC"/>
    <w:rsid w:val="00165A87"/>
    <w:rsid w:val="001940F0"/>
    <w:rsid w:val="00313600"/>
    <w:rsid w:val="00455E4D"/>
    <w:rsid w:val="005E11A0"/>
    <w:rsid w:val="00770B94"/>
    <w:rsid w:val="00877059"/>
    <w:rsid w:val="00952F16"/>
    <w:rsid w:val="00A13E39"/>
    <w:rsid w:val="00C25EA7"/>
    <w:rsid w:val="00F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3DA7-F69F-4BFA-9735-E96A0DF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3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13E39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A13E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A13E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A13E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E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EA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E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E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User</cp:lastModifiedBy>
  <cp:revision>2</cp:revision>
  <dcterms:created xsi:type="dcterms:W3CDTF">2023-05-10T15:25:00Z</dcterms:created>
  <dcterms:modified xsi:type="dcterms:W3CDTF">2023-05-10T15:25:00Z</dcterms:modified>
</cp:coreProperties>
</file>